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145" w:rsidRDefault="008C3145">
      <w:pPr>
        <w:spacing w:line="360" w:lineRule="auto"/>
      </w:pPr>
    </w:p>
    <w:p w:rsidR="008C3145" w:rsidRDefault="008C3145">
      <w:pPr>
        <w:spacing w:line="360" w:lineRule="auto"/>
        <w:jc w:val="center"/>
        <w:rPr>
          <w:rFonts w:ascii="宋体" w:eastAsia="宋体" w:hAnsi="宋体" w:cs="宋体"/>
          <w:sz w:val="52"/>
          <w:szCs w:val="52"/>
        </w:rPr>
      </w:pPr>
    </w:p>
    <w:p w:rsidR="008C3145" w:rsidRDefault="008F1DCF">
      <w:pPr>
        <w:spacing w:line="360" w:lineRule="auto"/>
        <w:jc w:val="center"/>
        <w:rPr>
          <w:rFonts w:ascii="宋体" w:eastAsia="宋体" w:hAnsi="宋体" w:cs="宋体"/>
          <w:sz w:val="52"/>
          <w:szCs w:val="52"/>
        </w:rPr>
      </w:pPr>
      <w:r>
        <w:rPr>
          <w:rFonts w:ascii="宋体" w:eastAsia="宋体" w:hAnsi="宋体" w:cs="宋体" w:hint="eastAsia"/>
          <w:sz w:val="52"/>
          <w:szCs w:val="52"/>
        </w:rPr>
        <w:t>泰山产业领军人才</w:t>
      </w:r>
      <w:bookmarkStart w:id="0" w:name="_GoBack"/>
      <w:bookmarkEnd w:id="0"/>
      <w:r w:rsidR="00A06588">
        <w:rPr>
          <w:rFonts w:ascii="宋体" w:eastAsia="宋体" w:hAnsi="宋体" w:cs="宋体" w:hint="eastAsia"/>
          <w:sz w:val="52"/>
          <w:szCs w:val="52"/>
        </w:rPr>
        <w:t>评估系统</w:t>
      </w:r>
    </w:p>
    <w:p w:rsidR="008C3145" w:rsidRDefault="00A06588">
      <w:pPr>
        <w:spacing w:line="360" w:lineRule="auto"/>
        <w:jc w:val="center"/>
        <w:rPr>
          <w:rFonts w:ascii="宋体" w:eastAsia="宋体" w:hAnsi="宋体" w:cs="宋体"/>
          <w:sz w:val="52"/>
          <w:szCs w:val="52"/>
        </w:rPr>
      </w:pPr>
      <w:r>
        <w:rPr>
          <w:rFonts w:ascii="宋体" w:eastAsia="宋体" w:hAnsi="宋体" w:cs="宋体" w:hint="eastAsia"/>
          <w:sz w:val="52"/>
          <w:szCs w:val="52"/>
        </w:rPr>
        <w:t>（产业技能类）</w:t>
      </w:r>
    </w:p>
    <w:p w:rsidR="008C3145" w:rsidRDefault="00A06588">
      <w:pPr>
        <w:spacing w:line="360" w:lineRule="auto"/>
        <w:jc w:val="center"/>
        <w:rPr>
          <w:rFonts w:ascii="宋体" w:eastAsia="宋体" w:hAnsi="宋体" w:cs="宋体"/>
          <w:sz w:val="52"/>
          <w:szCs w:val="52"/>
        </w:rPr>
      </w:pPr>
      <w:r>
        <w:rPr>
          <w:rFonts w:ascii="宋体" w:eastAsia="宋体" w:hAnsi="宋体" w:cs="宋体" w:hint="eastAsia"/>
          <w:sz w:val="52"/>
          <w:szCs w:val="52"/>
        </w:rPr>
        <w:t>领军人才操作指南</w:t>
      </w:r>
    </w:p>
    <w:p w:rsidR="008C3145" w:rsidRDefault="008C3145">
      <w:pPr>
        <w:spacing w:line="360" w:lineRule="auto"/>
        <w:jc w:val="center"/>
        <w:rPr>
          <w:rFonts w:ascii="宋体" w:eastAsia="宋体" w:hAnsi="宋体" w:cs="宋体"/>
          <w:sz w:val="52"/>
          <w:szCs w:val="52"/>
        </w:rPr>
        <w:sectPr w:rsidR="008C3145">
          <w:headerReference w:type="default" r:id="rId8"/>
          <w:footerReference w:type="default" r:id="rId9"/>
          <w:type w:val="continuous"/>
          <w:pgSz w:w="11900" w:h="16838"/>
          <w:pgMar w:top="1440" w:right="1440" w:bottom="1440" w:left="1440" w:header="0" w:footer="0" w:gutter="0"/>
          <w:pgNumType w:fmt="numberInDash"/>
          <w:cols w:space="720" w:equalWidth="0">
            <w:col w:w="9026"/>
          </w:cols>
        </w:sectPr>
      </w:pPr>
    </w:p>
    <w:p w:rsidR="008C3145" w:rsidRDefault="008C3145">
      <w:pPr>
        <w:spacing w:line="360" w:lineRule="auto"/>
      </w:pPr>
      <w:bookmarkStart w:id="1" w:name="page2"/>
      <w:bookmarkEnd w:id="1"/>
    </w:p>
    <w:p w:rsidR="008C3145" w:rsidRDefault="008C3145">
      <w:pPr>
        <w:spacing w:line="360" w:lineRule="auto"/>
        <w:sectPr w:rsidR="008C3145">
          <w:pgSz w:w="11900" w:h="16838"/>
          <w:pgMar w:top="862" w:right="1440" w:bottom="648" w:left="1440" w:header="0" w:footer="0" w:gutter="0"/>
          <w:pgNumType w:fmt="numberInDash"/>
          <w:cols w:space="720" w:equalWidth="0">
            <w:col w:w="9026"/>
          </w:cols>
        </w:sectPr>
      </w:pPr>
    </w:p>
    <w:p w:rsidR="008C3145" w:rsidRDefault="008C3145">
      <w:pPr>
        <w:spacing w:line="360" w:lineRule="auto"/>
      </w:pPr>
    </w:p>
    <w:p w:rsidR="008C3145" w:rsidRDefault="00A06588">
      <w:pPr>
        <w:spacing w:line="360" w:lineRule="auto"/>
        <w:jc w:val="center"/>
        <w:rPr>
          <w:rFonts w:ascii="宋体" w:eastAsia="宋体" w:hAnsi="宋体" w:cs="宋体"/>
          <w:sz w:val="40"/>
          <w:szCs w:val="40"/>
        </w:rPr>
      </w:pPr>
      <w:r>
        <w:rPr>
          <w:rFonts w:ascii="宋体" w:eastAsia="宋体" w:hAnsi="宋体" w:cs="宋体" w:hint="eastAsia"/>
          <w:sz w:val="40"/>
          <w:szCs w:val="40"/>
        </w:rPr>
        <w:t>目录</w:t>
      </w:r>
    </w:p>
    <w:p w:rsidR="008C3145" w:rsidRDefault="008C3145">
      <w:pPr>
        <w:spacing w:line="360" w:lineRule="auto"/>
        <w:rPr>
          <w:rFonts w:ascii="宋体" w:eastAsia="宋体" w:hAnsi="宋体" w:cs="宋体"/>
          <w:sz w:val="24"/>
          <w:szCs w:val="24"/>
        </w:rPr>
      </w:pPr>
    </w:p>
    <w:p w:rsidR="008C3145" w:rsidRDefault="00A06588">
      <w:pPr>
        <w:pStyle w:val="10"/>
        <w:tabs>
          <w:tab w:val="right" w:leader="dot" w:pos="9020"/>
        </w:tabs>
        <w:spacing w:line="360" w:lineRule="auto"/>
        <w:rPr>
          <w:rFonts w:ascii="宋体" w:eastAsia="宋体" w:hAnsi="宋体" w:cs="宋体"/>
          <w:sz w:val="24"/>
          <w:szCs w:val="24"/>
        </w:rPr>
      </w:pP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TOC \o "1-3" \h \u </w:instrText>
      </w:r>
      <w:r>
        <w:rPr>
          <w:rFonts w:ascii="宋体" w:eastAsia="宋体" w:hAnsi="宋体" w:cs="宋体" w:hint="eastAsia"/>
          <w:sz w:val="24"/>
          <w:szCs w:val="24"/>
        </w:rPr>
        <w:fldChar w:fldCharType="separate"/>
      </w:r>
      <w:hyperlink w:anchor="_Toc21167" w:history="1">
        <w:r>
          <w:rPr>
            <w:rFonts w:ascii="宋体" w:eastAsia="宋体" w:hAnsi="宋体" w:cs="宋体" w:hint="eastAsia"/>
            <w:bCs/>
            <w:sz w:val="24"/>
            <w:szCs w:val="24"/>
          </w:rPr>
          <w:t>1.操作流程</w:t>
        </w:r>
        <w:r>
          <w:rPr>
            <w:rFonts w:ascii="宋体" w:eastAsia="宋体" w:hAnsi="宋体" w:cs="宋体" w:hint="eastAsia"/>
            <w:sz w:val="24"/>
            <w:szCs w:val="24"/>
          </w:rPr>
          <w:tab/>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PAGEREF _Toc21167 </w:instrText>
        </w:r>
        <w:r>
          <w:rPr>
            <w:rFonts w:ascii="宋体" w:eastAsia="宋体" w:hAnsi="宋体" w:cs="宋体" w:hint="eastAsia"/>
            <w:sz w:val="24"/>
            <w:szCs w:val="24"/>
          </w:rPr>
          <w:fldChar w:fldCharType="separate"/>
        </w:r>
        <w:r>
          <w:rPr>
            <w:rFonts w:ascii="宋体" w:eastAsia="宋体" w:hAnsi="宋体" w:cs="宋体" w:hint="eastAsia"/>
            <w:sz w:val="24"/>
            <w:szCs w:val="24"/>
          </w:rPr>
          <w:t>- 3 -</w:t>
        </w:r>
        <w:r>
          <w:rPr>
            <w:rFonts w:ascii="宋体" w:eastAsia="宋体" w:hAnsi="宋体" w:cs="宋体" w:hint="eastAsia"/>
            <w:sz w:val="24"/>
            <w:szCs w:val="24"/>
          </w:rPr>
          <w:fldChar w:fldCharType="end"/>
        </w:r>
      </w:hyperlink>
    </w:p>
    <w:p w:rsidR="008C3145" w:rsidRDefault="004334CC">
      <w:pPr>
        <w:pStyle w:val="10"/>
        <w:tabs>
          <w:tab w:val="right" w:leader="dot" w:pos="9020"/>
        </w:tabs>
        <w:spacing w:line="360" w:lineRule="auto"/>
        <w:rPr>
          <w:rFonts w:ascii="宋体" w:eastAsia="宋体" w:hAnsi="宋体" w:cs="宋体"/>
          <w:sz w:val="24"/>
          <w:szCs w:val="24"/>
        </w:rPr>
      </w:pPr>
      <w:hyperlink w:anchor="_Toc4843" w:history="1">
        <w:r w:rsidR="00A06588">
          <w:rPr>
            <w:rFonts w:ascii="宋体" w:eastAsia="宋体" w:hAnsi="宋体" w:cs="宋体" w:hint="eastAsia"/>
            <w:bCs/>
            <w:sz w:val="24"/>
            <w:szCs w:val="24"/>
          </w:rPr>
          <w:t>2.流程分解</w:t>
        </w:r>
        <w:r w:rsidR="00A06588">
          <w:rPr>
            <w:rFonts w:ascii="宋体" w:eastAsia="宋体" w:hAnsi="宋体" w:cs="宋体" w:hint="eastAsia"/>
            <w:sz w:val="24"/>
            <w:szCs w:val="24"/>
          </w:rPr>
          <w:tab/>
        </w:r>
        <w:r w:rsidR="00A06588">
          <w:rPr>
            <w:rFonts w:ascii="宋体" w:eastAsia="宋体" w:hAnsi="宋体" w:cs="宋体" w:hint="eastAsia"/>
            <w:sz w:val="24"/>
            <w:szCs w:val="24"/>
          </w:rPr>
          <w:fldChar w:fldCharType="begin"/>
        </w:r>
        <w:r w:rsidR="00A06588">
          <w:rPr>
            <w:rFonts w:ascii="宋体" w:eastAsia="宋体" w:hAnsi="宋体" w:cs="宋体" w:hint="eastAsia"/>
            <w:sz w:val="24"/>
            <w:szCs w:val="24"/>
          </w:rPr>
          <w:instrText xml:space="preserve"> PAGEREF _Toc4843 </w:instrText>
        </w:r>
        <w:r w:rsidR="00A06588">
          <w:rPr>
            <w:rFonts w:ascii="宋体" w:eastAsia="宋体" w:hAnsi="宋体" w:cs="宋体" w:hint="eastAsia"/>
            <w:sz w:val="24"/>
            <w:szCs w:val="24"/>
          </w:rPr>
          <w:fldChar w:fldCharType="separate"/>
        </w:r>
        <w:r w:rsidR="00A06588">
          <w:rPr>
            <w:rFonts w:ascii="宋体" w:eastAsia="宋体" w:hAnsi="宋体" w:cs="宋体" w:hint="eastAsia"/>
            <w:sz w:val="24"/>
            <w:szCs w:val="24"/>
          </w:rPr>
          <w:t>- 4 -</w:t>
        </w:r>
        <w:r w:rsidR="00A06588">
          <w:rPr>
            <w:rFonts w:ascii="宋体" w:eastAsia="宋体" w:hAnsi="宋体" w:cs="宋体" w:hint="eastAsia"/>
            <w:sz w:val="24"/>
            <w:szCs w:val="24"/>
          </w:rPr>
          <w:fldChar w:fldCharType="end"/>
        </w:r>
      </w:hyperlink>
    </w:p>
    <w:p w:rsidR="008C3145" w:rsidRDefault="004334CC" w:rsidP="00B0483E">
      <w:pPr>
        <w:pStyle w:val="20"/>
        <w:tabs>
          <w:tab w:val="right" w:leader="dot" w:pos="9020"/>
        </w:tabs>
        <w:spacing w:line="360" w:lineRule="auto"/>
        <w:ind w:left="440"/>
        <w:rPr>
          <w:rFonts w:ascii="宋体" w:eastAsia="宋体" w:hAnsi="宋体" w:cs="宋体"/>
          <w:sz w:val="24"/>
          <w:szCs w:val="24"/>
        </w:rPr>
      </w:pPr>
      <w:hyperlink w:anchor="_Toc20844" w:history="1">
        <w:r w:rsidR="00A06588">
          <w:rPr>
            <w:rFonts w:ascii="宋体" w:eastAsia="宋体" w:hAnsi="宋体" w:cs="宋体" w:hint="eastAsia"/>
            <w:bCs/>
            <w:sz w:val="24"/>
            <w:szCs w:val="24"/>
          </w:rPr>
          <w:t>2.1 更新高层次人才库</w:t>
        </w:r>
        <w:r w:rsidR="00A06588">
          <w:rPr>
            <w:rFonts w:ascii="宋体" w:eastAsia="宋体" w:hAnsi="宋体" w:cs="宋体" w:hint="eastAsia"/>
            <w:sz w:val="24"/>
            <w:szCs w:val="24"/>
          </w:rPr>
          <w:tab/>
        </w:r>
        <w:r w:rsidR="00A06588">
          <w:rPr>
            <w:rFonts w:ascii="宋体" w:eastAsia="宋体" w:hAnsi="宋体" w:cs="宋体" w:hint="eastAsia"/>
            <w:sz w:val="24"/>
            <w:szCs w:val="24"/>
          </w:rPr>
          <w:fldChar w:fldCharType="begin"/>
        </w:r>
        <w:r w:rsidR="00A06588">
          <w:rPr>
            <w:rFonts w:ascii="宋体" w:eastAsia="宋体" w:hAnsi="宋体" w:cs="宋体" w:hint="eastAsia"/>
            <w:sz w:val="24"/>
            <w:szCs w:val="24"/>
          </w:rPr>
          <w:instrText xml:space="preserve"> PAGEREF _Toc20844 </w:instrText>
        </w:r>
        <w:r w:rsidR="00A06588">
          <w:rPr>
            <w:rFonts w:ascii="宋体" w:eastAsia="宋体" w:hAnsi="宋体" w:cs="宋体" w:hint="eastAsia"/>
            <w:sz w:val="24"/>
            <w:szCs w:val="24"/>
          </w:rPr>
          <w:fldChar w:fldCharType="separate"/>
        </w:r>
        <w:r w:rsidR="00A06588">
          <w:rPr>
            <w:rFonts w:ascii="宋体" w:eastAsia="宋体" w:hAnsi="宋体" w:cs="宋体" w:hint="eastAsia"/>
            <w:sz w:val="24"/>
            <w:szCs w:val="24"/>
          </w:rPr>
          <w:t>- 4 -</w:t>
        </w:r>
        <w:r w:rsidR="00A06588">
          <w:rPr>
            <w:rFonts w:ascii="宋体" w:eastAsia="宋体" w:hAnsi="宋体" w:cs="宋体" w:hint="eastAsia"/>
            <w:sz w:val="24"/>
            <w:szCs w:val="24"/>
          </w:rPr>
          <w:fldChar w:fldCharType="end"/>
        </w:r>
      </w:hyperlink>
    </w:p>
    <w:p w:rsidR="008C3145" w:rsidRDefault="004334CC" w:rsidP="00B0483E">
      <w:pPr>
        <w:pStyle w:val="20"/>
        <w:tabs>
          <w:tab w:val="right" w:leader="dot" w:pos="9020"/>
        </w:tabs>
        <w:spacing w:line="360" w:lineRule="auto"/>
        <w:ind w:left="440"/>
        <w:rPr>
          <w:rFonts w:ascii="宋体" w:eastAsia="宋体" w:hAnsi="宋体" w:cs="宋体"/>
          <w:sz w:val="24"/>
          <w:szCs w:val="24"/>
        </w:rPr>
      </w:pPr>
      <w:hyperlink w:anchor="_Toc4666" w:history="1">
        <w:r w:rsidR="00A06588">
          <w:rPr>
            <w:rFonts w:ascii="宋体" w:eastAsia="宋体" w:hAnsi="宋体" w:cs="宋体" w:hint="eastAsia"/>
            <w:bCs/>
            <w:sz w:val="24"/>
            <w:szCs w:val="24"/>
          </w:rPr>
          <w:t>2.2填写评估信息</w:t>
        </w:r>
        <w:r w:rsidR="00A06588">
          <w:rPr>
            <w:rFonts w:ascii="宋体" w:eastAsia="宋体" w:hAnsi="宋体" w:cs="宋体" w:hint="eastAsia"/>
            <w:sz w:val="24"/>
            <w:szCs w:val="24"/>
          </w:rPr>
          <w:tab/>
        </w:r>
        <w:r w:rsidR="00A06588">
          <w:rPr>
            <w:rFonts w:ascii="宋体" w:eastAsia="宋体" w:hAnsi="宋体" w:cs="宋体" w:hint="eastAsia"/>
            <w:sz w:val="24"/>
            <w:szCs w:val="24"/>
          </w:rPr>
          <w:fldChar w:fldCharType="begin"/>
        </w:r>
        <w:r w:rsidR="00A06588">
          <w:rPr>
            <w:rFonts w:ascii="宋体" w:eastAsia="宋体" w:hAnsi="宋体" w:cs="宋体" w:hint="eastAsia"/>
            <w:sz w:val="24"/>
            <w:szCs w:val="24"/>
          </w:rPr>
          <w:instrText xml:space="preserve"> PAGEREF _Toc4666 </w:instrText>
        </w:r>
        <w:r w:rsidR="00A06588">
          <w:rPr>
            <w:rFonts w:ascii="宋体" w:eastAsia="宋体" w:hAnsi="宋体" w:cs="宋体" w:hint="eastAsia"/>
            <w:sz w:val="24"/>
            <w:szCs w:val="24"/>
          </w:rPr>
          <w:fldChar w:fldCharType="separate"/>
        </w:r>
        <w:r w:rsidR="00A06588">
          <w:rPr>
            <w:rFonts w:ascii="宋体" w:eastAsia="宋体" w:hAnsi="宋体" w:cs="宋体" w:hint="eastAsia"/>
            <w:sz w:val="24"/>
            <w:szCs w:val="24"/>
          </w:rPr>
          <w:t>- 4 -</w:t>
        </w:r>
        <w:r w:rsidR="00A06588">
          <w:rPr>
            <w:rFonts w:ascii="宋体" w:eastAsia="宋体" w:hAnsi="宋体" w:cs="宋体" w:hint="eastAsia"/>
            <w:sz w:val="24"/>
            <w:szCs w:val="24"/>
          </w:rPr>
          <w:fldChar w:fldCharType="end"/>
        </w:r>
      </w:hyperlink>
    </w:p>
    <w:p w:rsidR="008C3145" w:rsidRDefault="004334CC" w:rsidP="00B0483E">
      <w:pPr>
        <w:pStyle w:val="20"/>
        <w:tabs>
          <w:tab w:val="right" w:leader="dot" w:pos="9020"/>
        </w:tabs>
        <w:spacing w:line="360" w:lineRule="auto"/>
        <w:ind w:left="440"/>
        <w:rPr>
          <w:rFonts w:ascii="宋体" w:eastAsia="宋体" w:hAnsi="宋体" w:cs="宋体"/>
          <w:sz w:val="24"/>
          <w:szCs w:val="24"/>
        </w:rPr>
      </w:pPr>
      <w:hyperlink w:anchor="_Toc11540" w:history="1">
        <w:r w:rsidR="00A06588">
          <w:rPr>
            <w:rFonts w:ascii="宋体" w:eastAsia="宋体" w:hAnsi="宋体" w:cs="宋体" w:hint="eastAsia"/>
            <w:bCs/>
            <w:sz w:val="24"/>
            <w:szCs w:val="24"/>
          </w:rPr>
          <w:t>2.3提交单位审核</w:t>
        </w:r>
        <w:r w:rsidR="00A06588">
          <w:rPr>
            <w:rFonts w:ascii="宋体" w:eastAsia="宋体" w:hAnsi="宋体" w:cs="宋体" w:hint="eastAsia"/>
            <w:sz w:val="24"/>
            <w:szCs w:val="24"/>
          </w:rPr>
          <w:tab/>
        </w:r>
        <w:r w:rsidR="00A06588">
          <w:rPr>
            <w:rFonts w:ascii="宋体" w:eastAsia="宋体" w:hAnsi="宋体" w:cs="宋体" w:hint="eastAsia"/>
            <w:sz w:val="24"/>
            <w:szCs w:val="24"/>
          </w:rPr>
          <w:fldChar w:fldCharType="begin"/>
        </w:r>
        <w:r w:rsidR="00A06588">
          <w:rPr>
            <w:rFonts w:ascii="宋体" w:eastAsia="宋体" w:hAnsi="宋体" w:cs="宋体" w:hint="eastAsia"/>
            <w:sz w:val="24"/>
            <w:szCs w:val="24"/>
          </w:rPr>
          <w:instrText xml:space="preserve"> PAGEREF _Toc11540 </w:instrText>
        </w:r>
        <w:r w:rsidR="00A06588">
          <w:rPr>
            <w:rFonts w:ascii="宋体" w:eastAsia="宋体" w:hAnsi="宋体" w:cs="宋体" w:hint="eastAsia"/>
            <w:sz w:val="24"/>
            <w:szCs w:val="24"/>
          </w:rPr>
          <w:fldChar w:fldCharType="separate"/>
        </w:r>
        <w:r w:rsidR="00A06588">
          <w:rPr>
            <w:rFonts w:ascii="宋体" w:eastAsia="宋体" w:hAnsi="宋体" w:cs="宋体" w:hint="eastAsia"/>
            <w:sz w:val="24"/>
            <w:szCs w:val="24"/>
          </w:rPr>
          <w:t>- 6 -</w:t>
        </w:r>
        <w:r w:rsidR="00A06588">
          <w:rPr>
            <w:rFonts w:ascii="宋体" w:eastAsia="宋体" w:hAnsi="宋体" w:cs="宋体" w:hint="eastAsia"/>
            <w:sz w:val="24"/>
            <w:szCs w:val="24"/>
          </w:rPr>
          <w:fldChar w:fldCharType="end"/>
        </w:r>
      </w:hyperlink>
    </w:p>
    <w:p w:rsidR="008C3145" w:rsidRDefault="004334CC" w:rsidP="00B0483E">
      <w:pPr>
        <w:pStyle w:val="20"/>
        <w:tabs>
          <w:tab w:val="right" w:leader="dot" w:pos="9020"/>
        </w:tabs>
        <w:spacing w:line="360" w:lineRule="auto"/>
        <w:ind w:left="440"/>
        <w:rPr>
          <w:rFonts w:ascii="宋体" w:eastAsia="宋体" w:hAnsi="宋体" w:cs="宋体"/>
          <w:sz w:val="24"/>
          <w:szCs w:val="24"/>
        </w:rPr>
      </w:pPr>
      <w:hyperlink w:anchor="_Toc3627" w:history="1">
        <w:r w:rsidR="00A06588">
          <w:rPr>
            <w:rFonts w:ascii="宋体" w:eastAsia="宋体" w:hAnsi="宋体" w:cs="宋体" w:hint="eastAsia"/>
            <w:bCs/>
            <w:sz w:val="24"/>
            <w:szCs w:val="24"/>
          </w:rPr>
          <w:t>2.4单位评估信息查看</w:t>
        </w:r>
        <w:r w:rsidR="00A06588">
          <w:rPr>
            <w:rFonts w:ascii="宋体" w:eastAsia="宋体" w:hAnsi="宋体" w:cs="宋体" w:hint="eastAsia"/>
            <w:sz w:val="24"/>
            <w:szCs w:val="24"/>
          </w:rPr>
          <w:tab/>
        </w:r>
        <w:r w:rsidR="00A06588">
          <w:rPr>
            <w:rFonts w:ascii="宋体" w:eastAsia="宋体" w:hAnsi="宋体" w:cs="宋体" w:hint="eastAsia"/>
            <w:sz w:val="24"/>
            <w:szCs w:val="24"/>
          </w:rPr>
          <w:fldChar w:fldCharType="begin"/>
        </w:r>
        <w:r w:rsidR="00A06588">
          <w:rPr>
            <w:rFonts w:ascii="宋体" w:eastAsia="宋体" w:hAnsi="宋体" w:cs="宋体" w:hint="eastAsia"/>
            <w:sz w:val="24"/>
            <w:szCs w:val="24"/>
          </w:rPr>
          <w:instrText xml:space="preserve"> PAGEREF _Toc3627 </w:instrText>
        </w:r>
        <w:r w:rsidR="00A06588">
          <w:rPr>
            <w:rFonts w:ascii="宋体" w:eastAsia="宋体" w:hAnsi="宋体" w:cs="宋体" w:hint="eastAsia"/>
            <w:sz w:val="24"/>
            <w:szCs w:val="24"/>
          </w:rPr>
          <w:fldChar w:fldCharType="separate"/>
        </w:r>
        <w:r w:rsidR="00A06588">
          <w:rPr>
            <w:rFonts w:ascii="宋体" w:eastAsia="宋体" w:hAnsi="宋体" w:cs="宋体" w:hint="eastAsia"/>
            <w:sz w:val="24"/>
            <w:szCs w:val="24"/>
          </w:rPr>
          <w:t>- 6 -</w:t>
        </w:r>
        <w:r w:rsidR="00A06588">
          <w:rPr>
            <w:rFonts w:ascii="宋体" w:eastAsia="宋体" w:hAnsi="宋体" w:cs="宋体" w:hint="eastAsia"/>
            <w:sz w:val="24"/>
            <w:szCs w:val="24"/>
          </w:rPr>
          <w:fldChar w:fldCharType="end"/>
        </w:r>
      </w:hyperlink>
    </w:p>
    <w:p w:rsidR="008C3145" w:rsidRDefault="004334CC" w:rsidP="00B0483E">
      <w:pPr>
        <w:pStyle w:val="20"/>
        <w:tabs>
          <w:tab w:val="right" w:leader="dot" w:pos="9020"/>
        </w:tabs>
        <w:spacing w:line="360" w:lineRule="auto"/>
        <w:ind w:left="440"/>
        <w:rPr>
          <w:rFonts w:ascii="宋体" w:eastAsia="宋体" w:hAnsi="宋体" w:cs="宋体"/>
          <w:sz w:val="24"/>
          <w:szCs w:val="24"/>
        </w:rPr>
      </w:pPr>
      <w:hyperlink w:anchor="_Toc14757" w:history="1">
        <w:r w:rsidR="00A06588">
          <w:rPr>
            <w:rFonts w:ascii="宋体" w:eastAsia="宋体" w:hAnsi="宋体" w:cs="宋体" w:hint="eastAsia"/>
            <w:bCs/>
            <w:sz w:val="24"/>
            <w:szCs w:val="24"/>
          </w:rPr>
          <w:t>2.5退回后修改</w:t>
        </w:r>
        <w:r w:rsidR="00A06588">
          <w:rPr>
            <w:rFonts w:ascii="宋体" w:eastAsia="宋体" w:hAnsi="宋体" w:cs="宋体" w:hint="eastAsia"/>
            <w:sz w:val="24"/>
            <w:szCs w:val="24"/>
          </w:rPr>
          <w:tab/>
        </w:r>
        <w:r w:rsidR="00A06588">
          <w:rPr>
            <w:rFonts w:ascii="宋体" w:eastAsia="宋体" w:hAnsi="宋体" w:cs="宋体" w:hint="eastAsia"/>
            <w:sz w:val="24"/>
            <w:szCs w:val="24"/>
          </w:rPr>
          <w:fldChar w:fldCharType="begin"/>
        </w:r>
        <w:r w:rsidR="00A06588">
          <w:rPr>
            <w:rFonts w:ascii="宋体" w:eastAsia="宋体" w:hAnsi="宋体" w:cs="宋体" w:hint="eastAsia"/>
            <w:sz w:val="24"/>
            <w:szCs w:val="24"/>
          </w:rPr>
          <w:instrText xml:space="preserve"> PAGEREF _Toc14757 </w:instrText>
        </w:r>
        <w:r w:rsidR="00A06588">
          <w:rPr>
            <w:rFonts w:ascii="宋体" w:eastAsia="宋体" w:hAnsi="宋体" w:cs="宋体" w:hint="eastAsia"/>
            <w:sz w:val="24"/>
            <w:szCs w:val="24"/>
          </w:rPr>
          <w:fldChar w:fldCharType="separate"/>
        </w:r>
        <w:r w:rsidR="00A06588">
          <w:rPr>
            <w:rFonts w:ascii="宋体" w:eastAsia="宋体" w:hAnsi="宋体" w:cs="宋体" w:hint="eastAsia"/>
            <w:sz w:val="24"/>
            <w:szCs w:val="24"/>
          </w:rPr>
          <w:t>- 7 -</w:t>
        </w:r>
        <w:r w:rsidR="00A06588">
          <w:rPr>
            <w:rFonts w:ascii="宋体" w:eastAsia="宋体" w:hAnsi="宋体" w:cs="宋体" w:hint="eastAsia"/>
            <w:sz w:val="24"/>
            <w:szCs w:val="24"/>
          </w:rPr>
          <w:fldChar w:fldCharType="end"/>
        </w:r>
      </w:hyperlink>
    </w:p>
    <w:p w:rsidR="008C3145" w:rsidRDefault="004334CC">
      <w:pPr>
        <w:pStyle w:val="10"/>
        <w:tabs>
          <w:tab w:val="right" w:leader="dot" w:pos="9020"/>
        </w:tabs>
        <w:spacing w:line="360" w:lineRule="auto"/>
        <w:rPr>
          <w:rFonts w:ascii="宋体" w:eastAsia="宋体" w:hAnsi="宋体" w:cs="宋体"/>
          <w:sz w:val="24"/>
          <w:szCs w:val="24"/>
        </w:rPr>
      </w:pPr>
      <w:hyperlink w:anchor="_Toc24549" w:history="1">
        <w:r w:rsidR="00A06588">
          <w:rPr>
            <w:rFonts w:ascii="宋体" w:eastAsia="宋体" w:hAnsi="宋体" w:cs="宋体" w:hint="eastAsia"/>
            <w:bCs/>
            <w:sz w:val="24"/>
            <w:szCs w:val="24"/>
          </w:rPr>
          <w:t>3.其他事项</w:t>
        </w:r>
        <w:r w:rsidR="00A06588">
          <w:rPr>
            <w:rFonts w:ascii="宋体" w:eastAsia="宋体" w:hAnsi="宋体" w:cs="宋体" w:hint="eastAsia"/>
            <w:sz w:val="24"/>
            <w:szCs w:val="24"/>
          </w:rPr>
          <w:tab/>
        </w:r>
        <w:r w:rsidR="00A06588">
          <w:rPr>
            <w:rFonts w:ascii="宋体" w:eastAsia="宋体" w:hAnsi="宋体" w:cs="宋体" w:hint="eastAsia"/>
            <w:sz w:val="24"/>
            <w:szCs w:val="24"/>
          </w:rPr>
          <w:fldChar w:fldCharType="begin"/>
        </w:r>
        <w:r w:rsidR="00A06588">
          <w:rPr>
            <w:rFonts w:ascii="宋体" w:eastAsia="宋体" w:hAnsi="宋体" w:cs="宋体" w:hint="eastAsia"/>
            <w:sz w:val="24"/>
            <w:szCs w:val="24"/>
          </w:rPr>
          <w:instrText xml:space="preserve"> PAGEREF _Toc24549 </w:instrText>
        </w:r>
        <w:r w:rsidR="00A06588">
          <w:rPr>
            <w:rFonts w:ascii="宋体" w:eastAsia="宋体" w:hAnsi="宋体" w:cs="宋体" w:hint="eastAsia"/>
            <w:sz w:val="24"/>
            <w:szCs w:val="24"/>
          </w:rPr>
          <w:fldChar w:fldCharType="separate"/>
        </w:r>
        <w:r w:rsidR="00A06588">
          <w:rPr>
            <w:rFonts w:ascii="宋体" w:eastAsia="宋体" w:hAnsi="宋体" w:cs="宋体" w:hint="eastAsia"/>
            <w:sz w:val="24"/>
            <w:szCs w:val="24"/>
          </w:rPr>
          <w:t>- 7 -</w:t>
        </w:r>
        <w:r w:rsidR="00A06588">
          <w:rPr>
            <w:rFonts w:ascii="宋体" w:eastAsia="宋体" w:hAnsi="宋体" w:cs="宋体" w:hint="eastAsia"/>
            <w:sz w:val="24"/>
            <w:szCs w:val="24"/>
          </w:rPr>
          <w:fldChar w:fldCharType="end"/>
        </w:r>
      </w:hyperlink>
    </w:p>
    <w:p w:rsidR="008C3145" w:rsidRDefault="00A06588">
      <w:pPr>
        <w:spacing w:line="360" w:lineRule="auto"/>
        <w:rPr>
          <w:rFonts w:ascii="宋体" w:eastAsia="宋体" w:hAnsi="宋体" w:cs="宋体"/>
          <w:sz w:val="28"/>
          <w:szCs w:val="28"/>
        </w:rPr>
        <w:sectPr w:rsidR="008C3145">
          <w:type w:val="continuous"/>
          <w:pgSz w:w="11900" w:h="16838"/>
          <w:pgMar w:top="862" w:right="1440" w:bottom="648" w:left="1440" w:header="0" w:footer="0" w:gutter="0"/>
          <w:pgNumType w:fmt="numberInDash"/>
          <w:cols w:space="720" w:equalWidth="0">
            <w:col w:w="9026"/>
          </w:cols>
        </w:sectPr>
      </w:pPr>
      <w:r>
        <w:rPr>
          <w:rFonts w:ascii="宋体" w:eastAsia="宋体" w:hAnsi="宋体" w:cs="宋体" w:hint="eastAsia"/>
          <w:sz w:val="24"/>
          <w:szCs w:val="24"/>
        </w:rPr>
        <w:fldChar w:fldCharType="end"/>
      </w:r>
    </w:p>
    <w:p w:rsidR="008C3145" w:rsidRDefault="00A06588">
      <w:pPr>
        <w:pStyle w:val="1"/>
        <w:spacing w:line="360" w:lineRule="auto"/>
        <w:rPr>
          <w:rFonts w:ascii="宋体" w:eastAsia="宋体" w:hAnsi="宋体" w:cs="宋体"/>
          <w:szCs w:val="44"/>
        </w:rPr>
      </w:pPr>
      <w:bookmarkStart w:id="2" w:name="page3"/>
      <w:bookmarkStart w:id="3" w:name="_Toc21167"/>
      <w:bookmarkEnd w:id="2"/>
      <w:r>
        <w:rPr>
          <w:rFonts w:ascii="宋体" w:eastAsia="宋体" w:hAnsi="宋体" w:cs="宋体" w:hint="eastAsia"/>
          <w:b w:val="0"/>
          <w:bCs/>
          <w:szCs w:val="44"/>
        </w:rPr>
        <w:lastRenderedPageBreak/>
        <w:t>1.操作流程</w:t>
      </w:r>
      <w:bookmarkEnd w:id="3"/>
    </w:p>
    <w:p w:rsidR="008C3145" w:rsidRDefault="00A06588">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（1）个人用户登录：登录网址http://www.rcsd.cn/，进行登录；</w:t>
      </w:r>
    </w:p>
    <w:p w:rsidR="008C3145" w:rsidRDefault="00A06588">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（2）更新高层次人才库信息：进行本年度相关内容的更新，完成后点击“信息提交”，点击“提交”按钮。单位审核通过，提交平台运营机构审核，审核通过，入库完毕；</w:t>
      </w:r>
    </w:p>
    <w:p w:rsidR="008C3145" w:rsidRDefault="00A06588">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（3）填写评估信息：进入“泰山产业领军人才工程评估系统”，填写相关信息。</w:t>
      </w:r>
    </w:p>
    <w:p w:rsidR="008C3145" w:rsidRDefault="00A06588">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（4）提交单位审核：提交用人单位进行审核，完成个人评估操作。</w:t>
      </w:r>
    </w:p>
    <w:p w:rsidR="008C3145" w:rsidRDefault="00A06588">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（5）单位评估信息查看：单位填写的评估信息，在提交前可以选择让领军人才查看，领军人才查看后可以填写领军人才查阅意见。</w:t>
      </w:r>
    </w:p>
    <w:p w:rsidR="008C3145" w:rsidRDefault="00A06588">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（6）退回后修改：若信息未审核通过，被用人单位退回后，需进行修改后重新提交至用人单位审核。</w:t>
      </w:r>
    </w:p>
    <w:p w:rsidR="008C3145" w:rsidRDefault="00A06588">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完成上述操作后，领军人才可在评估期内登录“泰山产业领军人才工程评估系统”，查看评估结果。</w:t>
      </w:r>
    </w:p>
    <w:p w:rsidR="008C3145" w:rsidRDefault="008C3145">
      <w:pPr>
        <w:spacing w:line="360" w:lineRule="auto"/>
        <w:rPr>
          <w:rFonts w:ascii="宋体" w:eastAsia="宋体" w:hAnsi="宋体" w:cs="宋体"/>
          <w:sz w:val="24"/>
          <w:szCs w:val="24"/>
        </w:rPr>
      </w:pPr>
    </w:p>
    <w:p w:rsidR="008C3145" w:rsidRDefault="00A06588">
      <w:pPr>
        <w:spacing w:line="360" w:lineRule="auto"/>
        <w:rPr>
          <w:rFonts w:ascii="宋体" w:eastAsia="宋体" w:hAnsi="宋体" w:cs="宋体"/>
          <w:sz w:val="24"/>
          <w:szCs w:val="24"/>
        </w:rPr>
      </w:pPr>
      <w:r>
        <w:rPr>
          <w:rFonts w:ascii="宋体" w:eastAsia="宋体" w:hAnsi="宋体" w:cs="宋体" w:hint="eastAsia"/>
          <w:sz w:val="24"/>
          <w:szCs w:val="24"/>
        </w:rPr>
        <w:t>流程图如下图所示：</w:t>
      </w:r>
    </w:p>
    <w:p w:rsidR="008C3145" w:rsidRDefault="00A06588">
      <w:pPr>
        <w:spacing w:line="360" w:lineRule="auto"/>
        <w:jc w:val="center"/>
        <w:rPr>
          <w:rFonts w:ascii="宋体" w:eastAsia="宋体" w:hAnsi="宋体" w:cs="宋体"/>
          <w:sz w:val="28"/>
          <w:szCs w:val="28"/>
        </w:rPr>
      </w:pPr>
      <w:r>
        <w:rPr>
          <w:rFonts w:ascii="宋体" w:eastAsia="宋体" w:hAnsi="宋体" w:cs="宋体" w:hint="eastAsia"/>
          <w:noProof/>
          <w:sz w:val="28"/>
          <w:szCs w:val="28"/>
        </w:rPr>
        <w:drawing>
          <wp:inline distT="0" distB="0" distL="114300" distR="114300">
            <wp:extent cx="4221480" cy="3932555"/>
            <wp:effectExtent l="0" t="0" r="0" b="14605"/>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pic:cNvPicPr>
                      <a:picLocks noChangeAspect="1"/>
                    </pic:cNvPicPr>
                  </pic:nvPicPr>
                  <pic:blipFill>
                    <a:blip r:embed="rId10"/>
                    <a:stretch>
                      <a:fillRect/>
                    </a:stretch>
                  </pic:blipFill>
                  <pic:spPr>
                    <a:xfrm>
                      <a:off x="0" y="0"/>
                      <a:ext cx="4221480" cy="3932555"/>
                    </a:xfrm>
                    <a:prstGeom prst="rect">
                      <a:avLst/>
                    </a:prstGeom>
                    <a:noFill/>
                    <a:ln w="9525">
                      <a:noFill/>
                    </a:ln>
                  </pic:spPr>
                </pic:pic>
              </a:graphicData>
            </a:graphic>
          </wp:inline>
        </w:drawing>
      </w:r>
    </w:p>
    <w:p w:rsidR="008C3145" w:rsidRDefault="008C3145">
      <w:pPr>
        <w:spacing w:line="360" w:lineRule="auto"/>
        <w:jc w:val="center"/>
        <w:rPr>
          <w:rFonts w:ascii="宋体" w:eastAsia="宋体" w:hAnsi="宋体" w:cs="宋体"/>
        </w:rPr>
      </w:pPr>
    </w:p>
    <w:p w:rsidR="008C3145" w:rsidRDefault="00A06588">
      <w:pPr>
        <w:pStyle w:val="1"/>
        <w:spacing w:line="360" w:lineRule="auto"/>
        <w:jc w:val="both"/>
        <w:rPr>
          <w:rFonts w:ascii="宋体" w:eastAsia="宋体" w:hAnsi="宋体" w:cs="宋体"/>
          <w:b w:val="0"/>
          <w:bCs/>
        </w:rPr>
      </w:pPr>
      <w:bookmarkStart w:id="4" w:name="page4"/>
      <w:bookmarkStart w:id="5" w:name="_Toc4843"/>
      <w:bookmarkEnd w:id="4"/>
      <w:r>
        <w:rPr>
          <w:rFonts w:ascii="宋体" w:eastAsia="宋体" w:hAnsi="宋体" w:cs="宋体" w:hint="eastAsia"/>
          <w:b w:val="0"/>
          <w:bCs/>
        </w:rPr>
        <w:lastRenderedPageBreak/>
        <w:t>2.流程分解</w:t>
      </w:r>
      <w:bookmarkEnd w:id="5"/>
    </w:p>
    <w:p w:rsidR="008C3145" w:rsidRDefault="00A06588">
      <w:pPr>
        <w:pStyle w:val="2"/>
        <w:spacing w:line="360" w:lineRule="auto"/>
        <w:rPr>
          <w:rFonts w:ascii="宋体" w:eastAsia="宋体" w:hAnsi="宋体" w:cs="宋体"/>
          <w:b w:val="0"/>
          <w:bCs/>
        </w:rPr>
      </w:pPr>
      <w:bookmarkStart w:id="6" w:name="_Toc20844"/>
      <w:r>
        <w:rPr>
          <w:rFonts w:ascii="宋体" w:eastAsia="宋体" w:hAnsi="宋体" w:cs="宋体" w:hint="eastAsia"/>
          <w:b w:val="0"/>
          <w:bCs/>
        </w:rPr>
        <w:t>2.1 更新高</w:t>
      </w:r>
      <w:r>
        <w:rPr>
          <w:rFonts w:ascii="宋体" w:eastAsia="宋体" w:hAnsi="宋体" w:cs="宋体" w:hint="eastAsia"/>
          <w:b w:val="0"/>
          <w:bCs/>
          <w:szCs w:val="32"/>
        </w:rPr>
        <w:t>层</w:t>
      </w:r>
      <w:r>
        <w:rPr>
          <w:rFonts w:ascii="宋体" w:eastAsia="宋体" w:hAnsi="宋体" w:cs="宋体" w:hint="eastAsia"/>
          <w:b w:val="0"/>
          <w:bCs/>
        </w:rPr>
        <w:t>次人才库</w:t>
      </w:r>
      <w:bookmarkEnd w:id="6"/>
    </w:p>
    <w:p w:rsidR="008C3145" w:rsidRDefault="00A06588">
      <w:pPr>
        <w:spacing w:line="360" w:lineRule="auto"/>
        <w:ind w:firstLineChars="200" w:firstLine="480"/>
        <w:jc w:val="both"/>
        <w:rPr>
          <w:rFonts w:ascii="宋体" w:eastAsia="宋体" w:hAnsi="宋体" w:cs="宋体"/>
          <w:sz w:val="24"/>
          <w:szCs w:val="24"/>
        </w:rPr>
      </w:pPr>
      <w:r>
        <w:rPr>
          <w:rFonts w:ascii="宋体" w:eastAsia="宋体" w:hAnsi="宋体" w:cs="宋体" w:hint="eastAsia"/>
          <w:sz w:val="24"/>
          <w:szCs w:val="24"/>
        </w:rPr>
        <w:t>用户</w:t>
      </w:r>
      <w:proofErr w:type="gramStart"/>
      <w:r>
        <w:rPr>
          <w:rFonts w:ascii="宋体" w:eastAsia="宋体" w:hAnsi="宋体" w:cs="宋体" w:hint="eastAsia"/>
          <w:sz w:val="24"/>
          <w:szCs w:val="24"/>
        </w:rPr>
        <w:t>登录省</w:t>
      </w:r>
      <w:proofErr w:type="gramEnd"/>
      <w:r>
        <w:rPr>
          <w:rFonts w:ascii="宋体" w:eastAsia="宋体" w:hAnsi="宋体" w:cs="宋体" w:hint="eastAsia"/>
          <w:sz w:val="24"/>
          <w:szCs w:val="24"/>
        </w:rPr>
        <w:t>人才公共服务信息平台，进入个人中心，点击业务系统，选择高层次人才库，如下图所示：</w:t>
      </w:r>
    </w:p>
    <w:p w:rsidR="008C3145" w:rsidRDefault="00A06588">
      <w:pPr>
        <w:spacing w:line="360" w:lineRule="auto"/>
        <w:jc w:val="center"/>
        <w:rPr>
          <w:rFonts w:ascii="宋体" w:eastAsia="宋体" w:hAnsi="宋体" w:cs="宋体"/>
          <w:sz w:val="24"/>
          <w:szCs w:val="24"/>
        </w:rPr>
      </w:pPr>
      <w:r>
        <w:rPr>
          <w:noProof/>
          <w:sz w:val="24"/>
          <w:szCs w:val="24"/>
        </w:rPr>
        <w:drawing>
          <wp:inline distT="0" distB="0" distL="114300" distR="114300">
            <wp:extent cx="5433695" cy="2880360"/>
            <wp:effectExtent l="0" t="0" r="6985" b="0"/>
            <wp:docPr id="1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pic:cNvPicPr>
                      <a:picLocks noChangeAspect="1"/>
                    </pic:cNvPicPr>
                  </pic:nvPicPr>
                  <pic:blipFill>
                    <a:blip r:embed="rId11"/>
                    <a:stretch>
                      <a:fillRect/>
                    </a:stretch>
                  </pic:blipFill>
                  <pic:spPr>
                    <a:xfrm>
                      <a:off x="0" y="0"/>
                      <a:ext cx="5433695" cy="2880360"/>
                    </a:xfrm>
                    <a:prstGeom prst="rect">
                      <a:avLst/>
                    </a:prstGeom>
                    <a:noFill/>
                    <a:ln w="9525">
                      <a:noFill/>
                    </a:ln>
                  </pic:spPr>
                </pic:pic>
              </a:graphicData>
            </a:graphic>
          </wp:inline>
        </w:drawing>
      </w:r>
    </w:p>
    <w:p w:rsidR="008C3145" w:rsidRDefault="00A06588">
      <w:pPr>
        <w:spacing w:line="360" w:lineRule="auto"/>
        <w:ind w:firstLineChars="200" w:firstLine="480"/>
        <w:jc w:val="both"/>
        <w:rPr>
          <w:rFonts w:ascii="宋体" w:eastAsia="宋体" w:hAnsi="宋体" w:cs="宋体"/>
          <w:sz w:val="24"/>
          <w:szCs w:val="24"/>
        </w:rPr>
      </w:pPr>
      <w:r>
        <w:rPr>
          <w:rFonts w:ascii="宋体" w:eastAsia="宋体" w:hAnsi="宋体" w:cs="宋体" w:hint="eastAsia"/>
          <w:sz w:val="24"/>
          <w:szCs w:val="24"/>
        </w:rPr>
        <w:t>进入高层次人才库，更新本年度高层次人才库中相关信息，如下图所示：</w:t>
      </w:r>
    </w:p>
    <w:p w:rsidR="008C3145" w:rsidRDefault="00A06588">
      <w:pPr>
        <w:spacing w:line="360" w:lineRule="auto"/>
        <w:jc w:val="center"/>
        <w:rPr>
          <w:sz w:val="24"/>
          <w:szCs w:val="24"/>
        </w:rPr>
      </w:pPr>
      <w:r>
        <w:rPr>
          <w:noProof/>
          <w:sz w:val="24"/>
          <w:szCs w:val="24"/>
        </w:rPr>
        <w:drawing>
          <wp:inline distT="0" distB="0" distL="114300" distR="114300">
            <wp:extent cx="5517515" cy="2461260"/>
            <wp:effectExtent l="0" t="0" r="14605" b="7620"/>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12"/>
                    <a:stretch>
                      <a:fillRect/>
                    </a:stretch>
                  </pic:blipFill>
                  <pic:spPr>
                    <a:xfrm>
                      <a:off x="0" y="0"/>
                      <a:ext cx="5517515" cy="2461260"/>
                    </a:xfrm>
                    <a:prstGeom prst="rect">
                      <a:avLst/>
                    </a:prstGeom>
                    <a:noFill/>
                    <a:ln w="9525">
                      <a:noFill/>
                    </a:ln>
                  </pic:spPr>
                </pic:pic>
              </a:graphicData>
            </a:graphic>
          </wp:inline>
        </w:drawing>
      </w:r>
    </w:p>
    <w:p w:rsidR="008C3145" w:rsidRDefault="00A06588">
      <w:pPr>
        <w:spacing w:line="360" w:lineRule="auto"/>
        <w:ind w:firstLineChars="200" w:firstLine="480"/>
        <w:jc w:val="both"/>
        <w:rPr>
          <w:rFonts w:ascii="宋体" w:eastAsia="宋体" w:hAnsi="宋体" w:cs="宋体"/>
          <w:sz w:val="24"/>
          <w:szCs w:val="24"/>
        </w:rPr>
      </w:pPr>
      <w:r>
        <w:rPr>
          <w:rFonts w:ascii="宋体" w:eastAsia="宋体" w:hAnsi="宋体" w:cs="宋体" w:hint="eastAsia"/>
          <w:sz w:val="24"/>
          <w:szCs w:val="24"/>
        </w:rPr>
        <w:t>进行本年度相关内容的更新，完成后点击“信息提交”，点击“提交”按钮。单位审核通过，提交平台运营机构审核，审核通过，入库完毕。</w:t>
      </w:r>
    </w:p>
    <w:p w:rsidR="008C3145" w:rsidRDefault="00A06588">
      <w:pPr>
        <w:pStyle w:val="2"/>
        <w:spacing w:line="360" w:lineRule="auto"/>
        <w:rPr>
          <w:rFonts w:ascii="宋体" w:eastAsia="宋体" w:hAnsi="宋体" w:cs="宋体"/>
          <w:b w:val="0"/>
          <w:bCs/>
        </w:rPr>
      </w:pPr>
      <w:bookmarkStart w:id="7" w:name="_Toc4666"/>
      <w:r>
        <w:rPr>
          <w:rFonts w:ascii="宋体" w:eastAsia="宋体" w:hAnsi="宋体" w:cs="宋体" w:hint="eastAsia"/>
          <w:b w:val="0"/>
          <w:bCs/>
        </w:rPr>
        <w:t>2.2填写评估信息</w:t>
      </w:r>
      <w:bookmarkEnd w:id="7"/>
    </w:p>
    <w:p w:rsidR="008C3145" w:rsidRDefault="00A06588">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在“业务系统”中，选择进入泰山产业领军人才工程评估系统，选择评估类</w:t>
      </w:r>
    </w:p>
    <w:p w:rsidR="008C3145" w:rsidRDefault="00A06588">
      <w:pPr>
        <w:spacing w:line="360" w:lineRule="auto"/>
        <w:rPr>
          <w:rFonts w:ascii="宋体" w:eastAsia="宋体" w:hAnsi="宋体" w:cs="宋体"/>
          <w:sz w:val="24"/>
          <w:szCs w:val="24"/>
        </w:rPr>
      </w:pPr>
      <w:r>
        <w:rPr>
          <w:rFonts w:ascii="宋体" w:eastAsia="宋体" w:hAnsi="宋体" w:cs="宋体" w:hint="eastAsia"/>
          <w:sz w:val="24"/>
          <w:szCs w:val="24"/>
        </w:rPr>
        <w:t>型，点击操作栏下的“编辑”按钮，如下图所示：</w:t>
      </w:r>
    </w:p>
    <w:p w:rsidR="008C3145" w:rsidRDefault="00A06588">
      <w:pPr>
        <w:spacing w:line="360" w:lineRule="auto"/>
        <w:jc w:val="center"/>
        <w:rPr>
          <w:rFonts w:ascii="宋体" w:eastAsia="宋体" w:hAnsi="宋体" w:cs="宋体"/>
          <w:sz w:val="24"/>
          <w:szCs w:val="24"/>
        </w:rPr>
      </w:pPr>
      <w:r>
        <w:rPr>
          <w:rFonts w:ascii="宋体" w:eastAsia="宋体" w:hAnsi="宋体" w:cs="宋体" w:hint="eastAsia"/>
          <w:noProof/>
          <w:sz w:val="24"/>
          <w:szCs w:val="24"/>
        </w:rPr>
        <w:lastRenderedPageBreak/>
        <w:drawing>
          <wp:inline distT="0" distB="0" distL="114300" distR="114300">
            <wp:extent cx="5426075" cy="1790700"/>
            <wp:effectExtent l="0" t="0" r="14605" b="7620"/>
            <wp:docPr id="2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pic:cNvPicPr>
                      <a:picLocks noChangeAspect="1"/>
                    </pic:cNvPicPr>
                  </pic:nvPicPr>
                  <pic:blipFill>
                    <a:blip r:embed="rId13"/>
                    <a:stretch>
                      <a:fillRect/>
                    </a:stretch>
                  </pic:blipFill>
                  <pic:spPr>
                    <a:xfrm>
                      <a:off x="0" y="0"/>
                      <a:ext cx="5426075" cy="1790700"/>
                    </a:xfrm>
                    <a:prstGeom prst="rect">
                      <a:avLst/>
                    </a:prstGeom>
                    <a:noFill/>
                    <a:ln w="9525">
                      <a:noFill/>
                    </a:ln>
                  </pic:spPr>
                </pic:pic>
              </a:graphicData>
            </a:graphic>
          </wp:inline>
        </w:drawing>
      </w:r>
    </w:p>
    <w:p w:rsidR="008C3145" w:rsidRDefault="00A06588">
      <w:pPr>
        <w:spacing w:line="360" w:lineRule="auto"/>
        <w:ind w:firstLineChars="200" w:firstLine="480"/>
        <w:jc w:val="both"/>
        <w:rPr>
          <w:rFonts w:ascii="宋体" w:eastAsia="宋体" w:hAnsi="宋体" w:cs="宋体"/>
          <w:sz w:val="24"/>
          <w:szCs w:val="24"/>
        </w:rPr>
      </w:pPr>
      <w:r>
        <w:rPr>
          <w:rFonts w:ascii="宋体" w:eastAsia="宋体" w:hAnsi="宋体" w:cs="宋体" w:hint="eastAsia"/>
          <w:sz w:val="24"/>
          <w:szCs w:val="24"/>
        </w:rPr>
        <w:t>进入后，完善领军人才信息，如下图所示：</w:t>
      </w:r>
    </w:p>
    <w:p w:rsidR="008C3145" w:rsidRDefault="00A06588">
      <w:pPr>
        <w:spacing w:line="360" w:lineRule="auto"/>
        <w:jc w:val="center"/>
        <w:rPr>
          <w:rFonts w:ascii="宋体" w:eastAsia="宋体" w:hAnsi="宋体" w:cs="宋体"/>
          <w:sz w:val="24"/>
          <w:szCs w:val="24"/>
        </w:rPr>
      </w:pPr>
      <w:r>
        <w:rPr>
          <w:rFonts w:ascii="宋体" w:eastAsia="宋体" w:hAnsi="宋体" w:cs="宋体" w:hint="eastAsia"/>
          <w:noProof/>
          <w:sz w:val="24"/>
          <w:szCs w:val="24"/>
        </w:rPr>
        <w:drawing>
          <wp:inline distT="0" distB="0" distL="114300" distR="114300">
            <wp:extent cx="5464175" cy="2301240"/>
            <wp:effectExtent l="0" t="0" r="6985" b="0"/>
            <wp:docPr id="2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5"/>
                    <pic:cNvPicPr>
                      <a:picLocks noChangeAspect="1"/>
                    </pic:cNvPicPr>
                  </pic:nvPicPr>
                  <pic:blipFill>
                    <a:blip r:embed="rId14"/>
                    <a:stretch>
                      <a:fillRect/>
                    </a:stretch>
                  </pic:blipFill>
                  <pic:spPr>
                    <a:xfrm>
                      <a:off x="0" y="0"/>
                      <a:ext cx="5464175" cy="2301240"/>
                    </a:xfrm>
                    <a:prstGeom prst="rect">
                      <a:avLst/>
                    </a:prstGeom>
                    <a:noFill/>
                    <a:ln w="9525">
                      <a:noFill/>
                    </a:ln>
                  </pic:spPr>
                </pic:pic>
              </a:graphicData>
            </a:graphic>
          </wp:inline>
        </w:drawing>
      </w:r>
    </w:p>
    <w:p w:rsidR="008C3145" w:rsidRDefault="00A06588">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①同步领军人才基本信息。</w:t>
      </w:r>
    </w:p>
    <w:p w:rsidR="008C3145" w:rsidRDefault="00A06588">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②同步主要研发成就新增情况（系统仅同步本年度的信息）。</w:t>
      </w:r>
    </w:p>
    <w:p w:rsidR="008C3145" w:rsidRDefault="00A06588">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③填写工作情况概述。</w:t>
      </w:r>
    </w:p>
    <w:p w:rsidR="008C3145" w:rsidRDefault="00A06588">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完善项目年度任务完成情况，如下图所示：</w:t>
      </w:r>
    </w:p>
    <w:p w:rsidR="008C3145" w:rsidRDefault="00A06588">
      <w:pPr>
        <w:spacing w:line="360" w:lineRule="auto"/>
        <w:jc w:val="center"/>
        <w:rPr>
          <w:rFonts w:ascii="宋体" w:eastAsia="宋体" w:hAnsi="宋体" w:cs="宋体"/>
          <w:sz w:val="24"/>
          <w:szCs w:val="24"/>
        </w:rPr>
      </w:pPr>
      <w:r>
        <w:rPr>
          <w:rFonts w:ascii="宋体" w:eastAsia="宋体" w:hAnsi="宋体" w:cs="宋体" w:hint="eastAsia"/>
          <w:noProof/>
          <w:sz w:val="24"/>
          <w:szCs w:val="24"/>
        </w:rPr>
        <w:drawing>
          <wp:inline distT="0" distB="0" distL="114300" distR="114300">
            <wp:extent cx="5502275" cy="1935480"/>
            <wp:effectExtent l="0" t="0" r="14605" b="0"/>
            <wp:docPr id="2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6"/>
                    <pic:cNvPicPr>
                      <a:picLocks noChangeAspect="1"/>
                    </pic:cNvPicPr>
                  </pic:nvPicPr>
                  <pic:blipFill>
                    <a:blip r:embed="rId15"/>
                    <a:stretch>
                      <a:fillRect/>
                    </a:stretch>
                  </pic:blipFill>
                  <pic:spPr>
                    <a:xfrm>
                      <a:off x="0" y="0"/>
                      <a:ext cx="5502275" cy="1935480"/>
                    </a:xfrm>
                    <a:prstGeom prst="rect">
                      <a:avLst/>
                    </a:prstGeom>
                    <a:noFill/>
                    <a:ln w="9525">
                      <a:noFill/>
                    </a:ln>
                  </pic:spPr>
                </pic:pic>
              </a:graphicData>
            </a:graphic>
          </wp:inline>
        </w:drawing>
      </w:r>
    </w:p>
    <w:p w:rsidR="008C3145" w:rsidRDefault="00A06588">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参考工作合同，根据年度任务和考核指标，编辑本年度实际完成情况。</w:t>
      </w:r>
    </w:p>
    <w:p w:rsidR="008C3145" w:rsidRDefault="008C3145">
      <w:pPr>
        <w:spacing w:line="360" w:lineRule="auto"/>
        <w:rPr>
          <w:rFonts w:ascii="宋体" w:eastAsia="宋体" w:hAnsi="宋体" w:cs="宋体"/>
          <w:sz w:val="24"/>
          <w:szCs w:val="24"/>
        </w:rPr>
        <w:sectPr w:rsidR="008C3145">
          <w:pgSz w:w="11900" w:h="16838"/>
          <w:pgMar w:top="862" w:right="1440" w:bottom="648" w:left="1440" w:header="0" w:footer="0" w:gutter="0"/>
          <w:pgNumType w:fmt="numberInDash"/>
          <w:cols w:space="720" w:equalWidth="0">
            <w:col w:w="9026"/>
          </w:cols>
        </w:sectPr>
      </w:pPr>
    </w:p>
    <w:p w:rsidR="008C3145" w:rsidRDefault="00A06588">
      <w:pPr>
        <w:pStyle w:val="2"/>
        <w:spacing w:line="360" w:lineRule="auto"/>
        <w:rPr>
          <w:rFonts w:ascii="宋体" w:eastAsia="宋体" w:hAnsi="宋体" w:cs="宋体"/>
          <w:b w:val="0"/>
          <w:bCs/>
        </w:rPr>
      </w:pPr>
      <w:bookmarkStart w:id="8" w:name="page7"/>
      <w:bookmarkStart w:id="9" w:name="_Toc11540"/>
      <w:bookmarkEnd w:id="8"/>
      <w:r>
        <w:rPr>
          <w:rFonts w:ascii="宋体" w:eastAsia="宋体" w:hAnsi="宋体" w:cs="宋体" w:hint="eastAsia"/>
          <w:b w:val="0"/>
          <w:bCs/>
        </w:rPr>
        <w:lastRenderedPageBreak/>
        <w:t>2.3提交单位审核</w:t>
      </w:r>
      <w:bookmarkEnd w:id="9"/>
    </w:p>
    <w:p w:rsidR="008C3145" w:rsidRDefault="00A06588">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评估信息维护完成后，点击信息提交，进入提交界面，如下图所示：</w:t>
      </w:r>
    </w:p>
    <w:p w:rsidR="008C3145" w:rsidRDefault="00A06588">
      <w:pPr>
        <w:spacing w:line="360" w:lineRule="auto"/>
        <w:jc w:val="center"/>
        <w:rPr>
          <w:rFonts w:ascii="宋体" w:eastAsia="宋体" w:hAnsi="宋体" w:cs="宋体"/>
          <w:sz w:val="24"/>
          <w:szCs w:val="24"/>
        </w:rPr>
      </w:pPr>
      <w:r>
        <w:rPr>
          <w:noProof/>
          <w:sz w:val="24"/>
          <w:szCs w:val="24"/>
        </w:rPr>
        <w:drawing>
          <wp:inline distT="0" distB="0" distL="114300" distR="114300">
            <wp:extent cx="5479415" cy="1722120"/>
            <wp:effectExtent l="0" t="0" r="6985" b="0"/>
            <wp:docPr id="2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7"/>
                    <pic:cNvPicPr>
                      <a:picLocks noChangeAspect="1"/>
                    </pic:cNvPicPr>
                  </pic:nvPicPr>
                  <pic:blipFill>
                    <a:blip r:embed="rId16"/>
                    <a:stretch>
                      <a:fillRect/>
                    </a:stretch>
                  </pic:blipFill>
                  <pic:spPr>
                    <a:xfrm>
                      <a:off x="0" y="0"/>
                      <a:ext cx="5479415" cy="1722120"/>
                    </a:xfrm>
                    <a:prstGeom prst="rect">
                      <a:avLst/>
                    </a:prstGeom>
                    <a:noFill/>
                    <a:ln w="9525">
                      <a:noFill/>
                    </a:ln>
                  </pic:spPr>
                </pic:pic>
              </a:graphicData>
            </a:graphic>
          </wp:inline>
        </w:drawing>
      </w:r>
    </w:p>
    <w:p w:rsidR="008C3145" w:rsidRDefault="00A06588">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点击上图中“提交”按钮，将评估信息提交至用人单位审核。</w:t>
      </w:r>
    </w:p>
    <w:p w:rsidR="008C3145" w:rsidRDefault="00A06588">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提交后，单位未审核前，可以进行撤回修改，如下图所示：</w:t>
      </w:r>
    </w:p>
    <w:p w:rsidR="008C3145" w:rsidRDefault="00A06588">
      <w:pPr>
        <w:spacing w:line="360" w:lineRule="auto"/>
        <w:jc w:val="center"/>
      </w:pPr>
      <w:r>
        <w:rPr>
          <w:noProof/>
          <w:sz w:val="24"/>
          <w:szCs w:val="24"/>
        </w:rPr>
        <w:drawing>
          <wp:inline distT="0" distB="0" distL="114300" distR="114300">
            <wp:extent cx="5570855" cy="1821180"/>
            <wp:effectExtent l="0" t="0" r="6985" b="7620"/>
            <wp:docPr id="2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8"/>
                    <pic:cNvPicPr>
                      <a:picLocks noChangeAspect="1"/>
                    </pic:cNvPicPr>
                  </pic:nvPicPr>
                  <pic:blipFill>
                    <a:blip r:embed="rId17"/>
                    <a:stretch>
                      <a:fillRect/>
                    </a:stretch>
                  </pic:blipFill>
                  <pic:spPr>
                    <a:xfrm>
                      <a:off x="0" y="0"/>
                      <a:ext cx="5570855" cy="1821180"/>
                    </a:xfrm>
                    <a:prstGeom prst="rect">
                      <a:avLst/>
                    </a:prstGeom>
                    <a:noFill/>
                    <a:ln w="9525">
                      <a:noFill/>
                    </a:ln>
                  </pic:spPr>
                </pic:pic>
              </a:graphicData>
            </a:graphic>
          </wp:inline>
        </w:drawing>
      </w:r>
    </w:p>
    <w:p w:rsidR="008C3145" w:rsidRDefault="00A06588">
      <w:pPr>
        <w:pStyle w:val="2"/>
        <w:spacing w:line="360" w:lineRule="auto"/>
        <w:rPr>
          <w:rFonts w:ascii="宋体" w:eastAsia="宋体" w:hAnsi="宋体" w:cs="宋体"/>
        </w:rPr>
      </w:pPr>
      <w:bookmarkStart w:id="10" w:name="_Toc3627"/>
      <w:r>
        <w:rPr>
          <w:rFonts w:ascii="宋体" w:eastAsia="宋体" w:hAnsi="宋体" w:cs="宋体" w:hint="eastAsia"/>
          <w:b w:val="0"/>
          <w:bCs/>
        </w:rPr>
        <w:t>2.4单位评估信息查看</w:t>
      </w:r>
      <w:bookmarkEnd w:id="10"/>
    </w:p>
    <w:p w:rsidR="008C3145" w:rsidRDefault="00A06588">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单位审核完领军人才提交的信息后，填写单位需填写的评估信息，提交下一级审核之前，可以选择让领军人才查看单位填写的信息。</w:t>
      </w:r>
    </w:p>
    <w:p w:rsidR="008C3145" w:rsidRDefault="00A06588">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领军人才登录系统，看到如下图所示界面：</w:t>
      </w:r>
    </w:p>
    <w:p w:rsidR="008C3145" w:rsidRDefault="00A06588">
      <w:pPr>
        <w:spacing w:line="360" w:lineRule="auto"/>
        <w:jc w:val="center"/>
        <w:rPr>
          <w:sz w:val="24"/>
          <w:szCs w:val="24"/>
        </w:rPr>
      </w:pPr>
      <w:r>
        <w:rPr>
          <w:noProof/>
          <w:sz w:val="24"/>
          <w:szCs w:val="24"/>
        </w:rPr>
        <w:drawing>
          <wp:inline distT="0" distB="0" distL="114300" distR="114300">
            <wp:extent cx="5494655" cy="2308860"/>
            <wp:effectExtent l="0" t="0" r="6985" b="7620"/>
            <wp:docPr id="2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9"/>
                    <pic:cNvPicPr>
                      <a:picLocks noChangeAspect="1"/>
                    </pic:cNvPicPr>
                  </pic:nvPicPr>
                  <pic:blipFill>
                    <a:blip r:embed="rId18"/>
                    <a:stretch>
                      <a:fillRect/>
                    </a:stretch>
                  </pic:blipFill>
                  <pic:spPr>
                    <a:xfrm>
                      <a:off x="0" y="0"/>
                      <a:ext cx="5494655" cy="2308860"/>
                    </a:xfrm>
                    <a:prstGeom prst="rect">
                      <a:avLst/>
                    </a:prstGeom>
                    <a:noFill/>
                    <a:ln w="9525">
                      <a:noFill/>
                    </a:ln>
                  </pic:spPr>
                </pic:pic>
              </a:graphicData>
            </a:graphic>
          </wp:inline>
        </w:drawing>
      </w:r>
      <w:bookmarkStart w:id="11" w:name="page8"/>
      <w:bookmarkEnd w:id="11"/>
    </w:p>
    <w:p w:rsidR="008C3145" w:rsidRDefault="008C3145">
      <w:pPr>
        <w:spacing w:line="360" w:lineRule="auto"/>
        <w:jc w:val="center"/>
        <w:rPr>
          <w:sz w:val="24"/>
          <w:szCs w:val="24"/>
        </w:rPr>
      </w:pPr>
    </w:p>
    <w:p w:rsidR="008C3145" w:rsidRDefault="008C3145">
      <w:pPr>
        <w:spacing w:line="360" w:lineRule="auto"/>
        <w:jc w:val="center"/>
        <w:rPr>
          <w:sz w:val="24"/>
          <w:szCs w:val="24"/>
        </w:rPr>
      </w:pPr>
    </w:p>
    <w:p w:rsidR="008C3145" w:rsidRDefault="008C3145">
      <w:pPr>
        <w:spacing w:line="360" w:lineRule="auto"/>
        <w:rPr>
          <w:rFonts w:ascii="宋体" w:eastAsia="宋体" w:hAnsi="宋体" w:cs="宋体"/>
          <w:sz w:val="24"/>
          <w:szCs w:val="24"/>
        </w:rPr>
      </w:pPr>
    </w:p>
    <w:p w:rsidR="008C3145" w:rsidRDefault="00A06588">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①领军人才可以查看单位基本情况、财政资金使用情况、其他附件；</w:t>
      </w:r>
    </w:p>
    <w:p w:rsidR="008C3145" w:rsidRDefault="00A06588">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②上述信息查看完毕，点击右侧结论意见，输入领军人才查阅意见；</w:t>
      </w:r>
    </w:p>
    <w:p w:rsidR="008C3145" w:rsidRDefault="00A06588">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③点击提交，</w:t>
      </w:r>
      <w:proofErr w:type="gramStart"/>
      <w:r>
        <w:rPr>
          <w:rFonts w:ascii="宋体" w:eastAsia="宋体" w:hAnsi="宋体" w:cs="宋体" w:hint="eastAsia"/>
          <w:sz w:val="24"/>
          <w:szCs w:val="24"/>
        </w:rPr>
        <w:t>则单位可以查看此</w:t>
      </w:r>
      <w:proofErr w:type="gramEnd"/>
      <w:r>
        <w:rPr>
          <w:rFonts w:ascii="宋体" w:eastAsia="宋体" w:hAnsi="宋体" w:cs="宋体" w:hint="eastAsia"/>
          <w:sz w:val="24"/>
          <w:szCs w:val="24"/>
        </w:rPr>
        <w:t>意见，并提交下一级审核；点击保存，则</w:t>
      </w:r>
      <w:proofErr w:type="gramStart"/>
      <w:r>
        <w:rPr>
          <w:rFonts w:ascii="宋体" w:eastAsia="宋体" w:hAnsi="宋体" w:cs="宋体" w:hint="eastAsia"/>
          <w:sz w:val="24"/>
          <w:szCs w:val="24"/>
        </w:rPr>
        <w:t>保存仅</w:t>
      </w:r>
      <w:proofErr w:type="gramEnd"/>
      <w:r>
        <w:rPr>
          <w:rFonts w:ascii="宋体" w:eastAsia="宋体" w:hAnsi="宋体" w:cs="宋体" w:hint="eastAsia"/>
          <w:sz w:val="24"/>
          <w:szCs w:val="24"/>
        </w:rPr>
        <w:t>保存操作结果；点击关闭，关闭结论意见对话框。</w:t>
      </w:r>
    </w:p>
    <w:p w:rsidR="008C3145" w:rsidRDefault="00A06588">
      <w:pPr>
        <w:pStyle w:val="2"/>
        <w:spacing w:line="360" w:lineRule="auto"/>
        <w:rPr>
          <w:rFonts w:ascii="宋体" w:eastAsia="宋体" w:hAnsi="宋体" w:cs="宋体"/>
          <w:b w:val="0"/>
          <w:bCs/>
        </w:rPr>
      </w:pPr>
      <w:bookmarkStart w:id="12" w:name="_Toc14757"/>
      <w:r>
        <w:rPr>
          <w:rFonts w:ascii="宋体" w:eastAsia="宋体" w:hAnsi="宋体" w:cs="宋体" w:hint="eastAsia"/>
          <w:b w:val="0"/>
          <w:bCs/>
        </w:rPr>
        <w:t>2.5退回后修改</w:t>
      </w:r>
      <w:bookmarkEnd w:id="12"/>
    </w:p>
    <w:p w:rsidR="008C3145" w:rsidRDefault="00A06588">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省主管部门审核各市领军人才评估信息，审核通过，准予备案；审核不通过，驳回限期整改（整改期限为评估期结束前）；整改不通过的，暂缓备案，暂缓备案的，随次年进行评估。</w:t>
      </w:r>
    </w:p>
    <w:p w:rsidR="008C3145" w:rsidRDefault="00A06588">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若领军人才部分信息未审核通过，被退回，需进行修改后重新提交至用人单位审核。具体操作方法如下：</w:t>
      </w:r>
    </w:p>
    <w:p w:rsidR="008C3145" w:rsidRDefault="00A06588">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如因同步的高层次人才库信息未通过，需进入高层次人才库修改未通过的信息，根据审核未通过意见进行修改，完成后点击“信息提交”，点击“提交”按钮。单位审核通过，提交平台运营机构审核，审核通过，入库完毕。进入泰山产业领军人才工程评估系统同步已在高层次人才库中修改的信息，点击信息提交，重新提交到用人单位审核。</w:t>
      </w:r>
    </w:p>
    <w:p w:rsidR="008C3145" w:rsidRDefault="00A06588">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（2）如因其他非同步信息未通过，根据退回意见修改后，点击信息提交，重新提交到用人单位审核。</w:t>
      </w:r>
    </w:p>
    <w:p w:rsidR="008C3145" w:rsidRDefault="00A06588">
      <w:pPr>
        <w:pStyle w:val="1"/>
        <w:spacing w:line="360" w:lineRule="auto"/>
        <w:rPr>
          <w:rFonts w:ascii="宋体" w:eastAsia="宋体" w:hAnsi="宋体" w:cs="宋体"/>
        </w:rPr>
      </w:pPr>
      <w:bookmarkStart w:id="13" w:name="_Toc24549"/>
      <w:r>
        <w:rPr>
          <w:rFonts w:ascii="宋体" w:eastAsia="宋体" w:hAnsi="宋体" w:cs="宋体" w:hint="eastAsia"/>
          <w:b w:val="0"/>
          <w:bCs/>
        </w:rPr>
        <w:t>3.其他事项</w:t>
      </w:r>
      <w:bookmarkEnd w:id="13"/>
    </w:p>
    <w:p w:rsidR="008C3145" w:rsidRDefault="00A06588">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评估系统使用过程中如遇到技术问题，可联系服务电话：0531—55575449、55575450；</w:t>
      </w:r>
      <w:proofErr w:type="spellStart"/>
      <w:r>
        <w:rPr>
          <w:rFonts w:ascii="宋体" w:eastAsia="宋体" w:hAnsi="宋体" w:cs="宋体" w:hint="eastAsia"/>
          <w:sz w:val="24"/>
          <w:szCs w:val="24"/>
        </w:rPr>
        <w:t>qq</w:t>
      </w:r>
      <w:proofErr w:type="spellEnd"/>
      <w:r>
        <w:rPr>
          <w:rFonts w:ascii="宋体" w:eastAsia="宋体" w:hAnsi="宋体" w:cs="宋体" w:hint="eastAsia"/>
          <w:sz w:val="24"/>
          <w:szCs w:val="24"/>
        </w:rPr>
        <w:t>群：108097897。</w:t>
      </w:r>
    </w:p>
    <w:sectPr w:rsidR="008C3145">
      <w:pgSz w:w="11900" w:h="16838"/>
      <w:pgMar w:top="850" w:right="1440" w:bottom="648" w:left="1440" w:header="0" w:footer="0" w:gutter="0"/>
      <w:pgNumType w:fmt="numberInDash"/>
      <w:cols w:space="720" w:equalWidth="0">
        <w:col w:w="902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4CC" w:rsidRDefault="004334CC">
      <w:r>
        <w:separator/>
      </w:r>
    </w:p>
  </w:endnote>
  <w:endnote w:type="continuationSeparator" w:id="0">
    <w:p w:rsidR="004334CC" w:rsidRDefault="0043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145" w:rsidRDefault="00A06588">
    <w:pPr>
      <w:pStyle w:val="a3"/>
    </w:pPr>
    <w:r>
      <w:ptab w:relativeTo="margin" w:alignment="center"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4CC" w:rsidRDefault="004334CC">
      <w:r>
        <w:separator/>
      </w:r>
    </w:p>
  </w:footnote>
  <w:footnote w:type="continuationSeparator" w:id="0">
    <w:p w:rsidR="004334CC" w:rsidRDefault="004334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145" w:rsidRDefault="008C3145">
    <w:pPr>
      <w:tabs>
        <w:tab w:val="left" w:pos="5380"/>
      </w:tabs>
      <w:spacing w:line="206" w:lineRule="exact"/>
      <w:ind w:left="360"/>
      <w:rPr>
        <w:rFonts w:ascii="宋体" w:eastAsia="宋体" w:hAnsi="宋体" w:cs="宋体"/>
        <w:sz w:val="18"/>
        <w:szCs w:val="18"/>
      </w:rPr>
    </w:pPr>
  </w:p>
  <w:p w:rsidR="008C3145" w:rsidRDefault="008C3145">
    <w:pPr>
      <w:tabs>
        <w:tab w:val="left" w:pos="5380"/>
      </w:tabs>
      <w:spacing w:line="206" w:lineRule="exact"/>
      <w:ind w:left="360"/>
      <w:rPr>
        <w:rFonts w:ascii="宋体" w:eastAsia="宋体" w:hAnsi="宋体" w:cs="宋体"/>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145"/>
    <w:rsid w:val="004334CC"/>
    <w:rsid w:val="008C3145"/>
    <w:rsid w:val="008F1DCF"/>
    <w:rsid w:val="00A06588"/>
    <w:rsid w:val="00B0483E"/>
    <w:rsid w:val="358C483F"/>
    <w:rsid w:val="3E5E273A"/>
    <w:rsid w:val="6E732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szCs w:val="22"/>
    </w:rPr>
  </w:style>
  <w:style w:type="paragraph" w:styleId="1">
    <w:name w:val="heading 1"/>
    <w:basedOn w:val="a"/>
    <w:next w:val="a"/>
    <w:uiPriority w:val="9"/>
    <w:qFormat/>
    <w:pPr>
      <w:keepNext/>
      <w:keepLines/>
      <w:spacing w:before="340" w:after="330" w:line="576" w:lineRule="auto"/>
      <w:outlineLvl w:val="0"/>
    </w:pPr>
    <w:rPr>
      <w:b/>
      <w:kern w:val="44"/>
      <w:sz w:val="44"/>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pPr>
      <w:tabs>
        <w:tab w:val="center" w:pos="4153"/>
        <w:tab w:val="right" w:pos="8306"/>
      </w:tabs>
      <w:snapToGrid w:val="0"/>
    </w:pPr>
    <w:rPr>
      <w:sz w:val="18"/>
    </w:rPr>
  </w:style>
  <w:style w:type="paragraph" w:styleId="a4">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uiPriority w:val="39"/>
    <w:unhideWhenUsed/>
  </w:style>
  <w:style w:type="paragraph" w:styleId="20">
    <w:name w:val="toc 2"/>
    <w:basedOn w:val="a"/>
    <w:next w:val="a"/>
    <w:uiPriority w:val="39"/>
    <w:unhideWhenUsed/>
    <w:pPr>
      <w:ind w:leftChars="200" w:left="420"/>
    </w:pPr>
  </w:style>
  <w:style w:type="paragraph" w:styleId="a5">
    <w:name w:val="Balloon Text"/>
    <w:basedOn w:val="a"/>
    <w:link w:val="Char"/>
    <w:uiPriority w:val="99"/>
    <w:semiHidden/>
    <w:unhideWhenUsed/>
    <w:rsid w:val="008F1DCF"/>
    <w:rPr>
      <w:sz w:val="18"/>
      <w:szCs w:val="18"/>
    </w:rPr>
  </w:style>
  <w:style w:type="character" w:customStyle="1" w:styleId="Char">
    <w:name w:val="批注框文本 Char"/>
    <w:basedOn w:val="a0"/>
    <w:link w:val="a5"/>
    <w:uiPriority w:val="99"/>
    <w:semiHidden/>
    <w:rsid w:val="008F1DC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szCs w:val="22"/>
    </w:rPr>
  </w:style>
  <w:style w:type="paragraph" w:styleId="1">
    <w:name w:val="heading 1"/>
    <w:basedOn w:val="a"/>
    <w:next w:val="a"/>
    <w:uiPriority w:val="9"/>
    <w:qFormat/>
    <w:pPr>
      <w:keepNext/>
      <w:keepLines/>
      <w:spacing w:before="340" w:after="330" w:line="576" w:lineRule="auto"/>
      <w:outlineLvl w:val="0"/>
    </w:pPr>
    <w:rPr>
      <w:b/>
      <w:kern w:val="44"/>
      <w:sz w:val="44"/>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pPr>
      <w:tabs>
        <w:tab w:val="center" w:pos="4153"/>
        <w:tab w:val="right" w:pos="8306"/>
      </w:tabs>
      <w:snapToGrid w:val="0"/>
    </w:pPr>
    <w:rPr>
      <w:sz w:val="18"/>
    </w:rPr>
  </w:style>
  <w:style w:type="paragraph" w:styleId="a4">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uiPriority w:val="39"/>
    <w:unhideWhenUsed/>
  </w:style>
  <w:style w:type="paragraph" w:styleId="20">
    <w:name w:val="toc 2"/>
    <w:basedOn w:val="a"/>
    <w:next w:val="a"/>
    <w:uiPriority w:val="39"/>
    <w:unhideWhenUsed/>
    <w:pPr>
      <w:ind w:leftChars="200" w:left="420"/>
    </w:pPr>
  </w:style>
  <w:style w:type="paragraph" w:styleId="a5">
    <w:name w:val="Balloon Text"/>
    <w:basedOn w:val="a"/>
    <w:link w:val="Char"/>
    <w:uiPriority w:val="99"/>
    <w:semiHidden/>
    <w:unhideWhenUsed/>
    <w:rsid w:val="008F1DCF"/>
    <w:rPr>
      <w:sz w:val="18"/>
      <w:szCs w:val="18"/>
    </w:rPr>
  </w:style>
  <w:style w:type="character" w:customStyle="1" w:styleId="Char">
    <w:name w:val="批注框文本 Char"/>
    <w:basedOn w:val="a0"/>
    <w:link w:val="a5"/>
    <w:uiPriority w:val="99"/>
    <w:semiHidden/>
    <w:rsid w:val="008F1DC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1728</Characters>
  <Application>Microsoft Office Word</Application>
  <DocSecurity>0</DocSecurity>
  <Lines>14</Lines>
  <Paragraphs>4</Paragraphs>
  <ScaleCrop>false</ScaleCrop>
  <Company>China</Company>
  <LinksUpToDate>false</LinksUpToDate>
  <CharactersWithSpaces>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4</cp:revision>
  <dcterms:created xsi:type="dcterms:W3CDTF">2017-10-24T10:18:00Z</dcterms:created>
  <dcterms:modified xsi:type="dcterms:W3CDTF">2017-12-07T05:52:00Z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2052-10.1.0.6874</vt:lpwstr>
  </property>
</Properties>
</file>